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Nom: Da vinci</w:t>
      </w:r>
      <w:r w:rsidDel="00000000" w:rsidR="00000000" w:rsidRPr="00000000">
        <w:rPr/>
        <w:drawing>
          <wp:inline distB="114300" distT="114300" distL="114300" distR="114300">
            <wp:extent cx="644987" cy="79825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987" cy="798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 au complet: Léonard de vinci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Nationalité: Italien</w:t>
      </w:r>
      <w:r w:rsidDel="00000000" w:rsidR="00000000" w:rsidRPr="00000000">
        <w:rPr/>
        <w:drawing>
          <wp:inline distB="114300" distT="114300" distL="114300" distR="114300">
            <wp:extent cx="845654" cy="56505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654" cy="565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Période de temps: 1452 à 1519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Oeuvre: La joconde, la cène</w:t>
      </w:r>
      <w:r w:rsidDel="00000000" w:rsidR="00000000" w:rsidRPr="00000000">
        <w:rPr/>
        <w:drawing>
          <wp:inline distB="114300" distT="114300" distL="114300" distR="114300">
            <wp:extent cx="639844" cy="95281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844" cy="952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04595" cy="67833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678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L’homme de vitruve et salvator Mundi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