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  <w:rtl w:val="0"/>
        </w:rPr>
        <w:t xml:space="preserve">Archimède</w: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archimède</w:t>
      </w:r>
      <w:r w:rsidDel="00000000" w:rsidR="00000000" w:rsidRPr="00000000">
        <w:rPr>
          <w:sz w:val="144"/>
          <w:szCs w:val="144"/>
        </w:rPr>
        <w:drawing>
          <wp:inline distB="114300" distT="114300" distL="114300" distR="114300">
            <wp:extent cx="2095500" cy="1876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7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8"/>
          <w:szCs w:val="48"/>
          <w:rtl w:val="0"/>
        </w:rPr>
        <w:t xml:space="preserve"> </w:t>
      </w: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3381375" cy="2362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nationalité grèce</w:t>
      </w: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2490788" cy="165637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1656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découverte la poussée d’archimède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