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  <w:rtl w:val="0"/>
        </w:rPr>
        <w:t xml:space="preserve">         Bohr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 au complet: Niels Bohr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1634018" cy="19651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4018" cy="19651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Période de temps: 1885-1962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Où: Danemark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2476500" cy="18669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6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découverte: couches d’électrons autour du noyau de l’atome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